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0001E7" w:rsidRPr="003C7004">
        <w:rPr>
          <w:sz w:val="28"/>
          <w:szCs w:val="28"/>
        </w:rPr>
        <w:t>Pappschachtel</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0001E7" w:rsidTr="000001E7">
        <w:tc>
          <w:tcPr>
            <w:tcW w:w="2466" w:type="dxa"/>
            <w:vAlign w:val="center"/>
          </w:tcPr>
          <w:p w:rsidR="000001E7" w:rsidRPr="00DE6A25" w:rsidRDefault="000001E7" w:rsidP="008A099B">
            <w:pPr>
              <w:pStyle w:val="IQB-Merkmal"/>
            </w:pPr>
            <w:r w:rsidRPr="00DE6A25">
              <w:t>Leitidee</w:t>
            </w:r>
          </w:p>
        </w:tc>
        <w:tc>
          <w:tcPr>
            <w:tcW w:w="6604" w:type="dxa"/>
          </w:tcPr>
          <w:p w:rsidR="000001E7" w:rsidRPr="00DE6A25" w:rsidRDefault="000001E7" w:rsidP="008A099B">
            <w:pPr>
              <w:pStyle w:val="IQB-Merkmalswert"/>
              <w:rPr>
                <w:sz w:val="22"/>
                <w:szCs w:val="22"/>
              </w:rPr>
            </w:pPr>
            <w:r w:rsidRPr="00DE6A25">
              <w:rPr>
                <w:sz w:val="22"/>
                <w:szCs w:val="22"/>
              </w:rPr>
              <w:t>Messen (L2)</w:t>
            </w:r>
          </w:p>
        </w:tc>
      </w:tr>
      <w:tr w:rsidR="000001E7" w:rsidTr="000001E7">
        <w:tc>
          <w:tcPr>
            <w:tcW w:w="2466" w:type="dxa"/>
            <w:vAlign w:val="center"/>
          </w:tcPr>
          <w:p w:rsidR="000001E7" w:rsidRPr="00DE6A25" w:rsidRDefault="000001E7" w:rsidP="008A099B">
            <w:pPr>
              <w:pStyle w:val="IQB-Merkmal"/>
            </w:pPr>
            <w:r w:rsidRPr="00DE6A25">
              <w:t>Allgemeine Kompetenzen</w:t>
            </w:r>
          </w:p>
        </w:tc>
        <w:tc>
          <w:tcPr>
            <w:tcW w:w="6604" w:type="dxa"/>
          </w:tcPr>
          <w:p w:rsidR="000001E7" w:rsidRPr="00DE6A25" w:rsidRDefault="000001E7" w:rsidP="008A099B">
            <w:pPr>
              <w:pStyle w:val="IQB-Merkmalswert"/>
              <w:rPr>
                <w:sz w:val="22"/>
                <w:szCs w:val="22"/>
              </w:rPr>
            </w:pPr>
            <w:r w:rsidRPr="00DE6A25">
              <w:rPr>
                <w:sz w:val="22"/>
                <w:szCs w:val="22"/>
              </w:rPr>
              <w:t>Mit symbolischen, formalen und technischen Elementen der Mathematik umg</w:t>
            </w:r>
            <w:r w:rsidRPr="00DE6A25">
              <w:rPr>
                <w:sz w:val="22"/>
                <w:szCs w:val="22"/>
              </w:rPr>
              <w:t>e</w:t>
            </w:r>
            <w:r w:rsidRPr="00DE6A25">
              <w:rPr>
                <w:sz w:val="22"/>
                <w:szCs w:val="22"/>
              </w:rPr>
              <w:t>hen (K5)</w:t>
            </w:r>
          </w:p>
        </w:tc>
      </w:tr>
      <w:tr w:rsidR="000001E7" w:rsidTr="000001E7">
        <w:tc>
          <w:tcPr>
            <w:tcW w:w="2466" w:type="dxa"/>
            <w:vAlign w:val="center"/>
          </w:tcPr>
          <w:p w:rsidR="000001E7" w:rsidRPr="00DE6A25" w:rsidRDefault="000001E7" w:rsidP="008A099B">
            <w:pPr>
              <w:pStyle w:val="IQB-Merkmal"/>
            </w:pPr>
            <w:r w:rsidRPr="00DE6A25">
              <w:t>Anforderungsbereich</w:t>
            </w:r>
          </w:p>
        </w:tc>
        <w:tc>
          <w:tcPr>
            <w:tcW w:w="6604" w:type="dxa"/>
          </w:tcPr>
          <w:p w:rsidR="000001E7" w:rsidRPr="00DE6A25" w:rsidRDefault="000001E7" w:rsidP="008A099B">
            <w:pPr>
              <w:pStyle w:val="IQB-Merkmalswert"/>
              <w:rPr>
                <w:sz w:val="22"/>
                <w:szCs w:val="22"/>
              </w:rPr>
            </w:pPr>
            <w:r w:rsidRPr="00DE6A25">
              <w:rPr>
                <w:sz w:val="22"/>
                <w:szCs w:val="22"/>
              </w:rPr>
              <w:t>I</w:t>
            </w:r>
          </w:p>
        </w:tc>
      </w:tr>
      <w:tr w:rsidR="000001E7" w:rsidTr="000001E7">
        <w:tc>
          <w:tcPr>
            <w:tcW w:w="2466" w:type="dxa"/>
            <w:vAlign w:val="center"/>
          </w:tcPr>
          <w:p w:rsidR="000001E7" w:rsidRPr="00DE6A25" w:rsidRDefault="000001E7" w:rsidP="008A099B">
            <w:pPr>
              <w:pStyle w:val="IQB-Merkmal"/>
            </w:pPr>
            <w:r w:rsidRPr="00DE6A25">
              <w:t>Kompetenzstufe</w:t>
            </w:r>
          </w:p>
        </w:tc>
        <w:tc>
          <w:tcPr>
            <w:tcW w:w="6604" w:type="dxa"/>
          </w:tcPr>
          <w:p w:rsidR="000001E7" w:rsidRPr="00DE6A25" w:rsidRDefault="000001E7" w:rsidP="008A099B">
            <w:pPr>
              <w:pStyle w:val="IQB-Merkmalswert"/>
              <w:rPr>
                <w:sz w:val="22"/>
                <w:szCs w:val="22"/>
              </w:rPr>
            </w:pPr>
            <w:r w:rsidRPr="00DE6A25">
              <w:rPr>
                <w:sz w:val="22"/>
                <w:szCs w:val="22"/>
              </w:rPr>
              <w:t>2</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0001E7" w:rsidTr="000001E7">
        <w:tc>
          <w:tcPr>
            <w:tcW w:w="2466" w:type="dxa"/>
            <w:vAlign w:val="center"/>
          </w:tcPr>
          <w:p w:rsidR="000001E7" w:rsidRPr="00DE6A25" w:rsidRDefault="000001E7" w:rsidP="008A099B">
            <w:pPr>
              <w:pStyle w:val="IQB-Merkmal"/>
            </w:pPr>
            <w:r w:rsidRPr="00DE6A25">
              <w:t>Leitidee</w:t>
            </w:r>
          </w:p>
        </w:tc>
        <w:tc>
          <w:tcPr>
            <w:tcW w:w="6604" w:type="dxa"/>
          </w:tcPr>
          <w:p w:rsidR="000001E7" w:rsidRPr="00DE6A25" w:rsidRDefault="000001E7" w:rsidP="008A099B">
            <w:pPr>
              <w:pStyle w:val="IQB-Merkmalswert"/>
              <w:rPr>
                <w:sz w:val="22"/>
                <w:szCs w:val="22"/>
              </w:rPr>
            </w:pPr>
            <w:r w:rsidRPr="00DE6A25">
              <w:rPr>
                <w:sz w:val="22"/>
                <w:szCs w:val="22"/>
              </w:rPr>
              <w:t>Messen (L2)</w:t>
            </w:r>
          </w:p>
        </w:tc>
      </w:tr>
      <w:tr w:rsidR="000001E7" w:rsidTr="000001E7">
        <w:tc>
          <w:tcPr>
            <w:tcW w:w="2466" w:type="dxa"/>
            <w:vAlign w:val="center"/>
          </w:tcPr>
          <w:p w:rsidR="000001E7" w:rsidRPr="00DE6A25" w:rsidRDefault="000001E7" w:rsidP="008A099B">
            <w:pPr>
              <w:pStyle w:val="IQB-Merkmal"/>
            </w:pPr>
            <w:r w:rsidRPr="00DE6A25">
              <w:t>Allgemeine Kompetenzen</w:t>
            </w:r>
          </w:p>
        </w:tc>
        <w:tc>
          <w:tcPr>
            <w:tcW w:w="6604" w:type="dxa"/>
          </w:tcPr>
          <w:p w:rsidR="000001E7" w:rsidRDefault="000001E7" w:rsidP="008A099B">
            <w:pPr>
              <w:pStyle w:val="IQB-Merkmalswert"/>
              <w:rPr>
                <w:sz w:val="22"/>
                <w:szCs w:val="22"/>
              </w:rPr>
            </w:pPr>
            <w:r w:rsidRPr="00DE6A25">
              <w:rPr>
                <w:sz w:val="22"/>
                <w:szCs w:val="22"/>
              </w:rPr>
              <w:t>Probleme mathematisch lösen</w:t>
            </w:r>
            <w:r>
              <w:rPr>
                <w:sz w:val="22"/>
                <w:szCs w:val="22"/>
              </w:rPr>
              <w:t xml:space="preserve"> (K2)</w:t>
            </w:r>
          </w:p>
          <w:p w:rsidR="000001E7" w:rsidRDefault="000001E7" w:rsidP="008A099B">
            <w:pPr>
              <w:pStyle w:val="IQB-Merkmalswert"/>
              <w:rPr>
                <w:sz w:val="22"/>
                <w:szCs w:val="22"/>
              </w:rPr>
            </w:pPr>
            <w:r w:rsidRPr="00DE6A25">
              <w:rPr>
                <w:sz w:val="22"/>
                <w:szCs w:val="22"/>
              </w:rPr>
              <w:t>Mathematisch</w:t>
            </w:r>
            <w:r>
              <w:rPr>
                <w:sz w:val="22"/>
                <w:szCs w:val="22"/>
              </w:rPr>
              <w:t>e Darstellungen verwenden (K4)</w:t>
            </w:r>
          </w:p>
          <w:p w:rsidR="000001E7" w:rsidRPr="00DE6A25" w:rsidRDefault="000001E7" w:rsidP="008A099B">
            <w:pPr>
              <w:pStyle w:val="IQB-Merkmalswert"/>
              <w:rPr>
                <w:sz w:val="22"/>
                <w:szCs w:val="22"/>
              </w:rPr>
            </w:pPr>
            <w:r w:rsidRPr="00DE6A25">
              <w:rPr>
                <w:sz w:val="22"/>
                <w:szCs w:val="22"/>
              </w:rPr>
              <w:t>Mit symbolischen, formalen und technischen Elementen der Mathematik umgehen (K5)</w:t>
            </w:r>
          </w:p>
        </w:tc>
      </w:tr>
      <w:tr w:rsidR="000001E7" w:rsidTr="000001E7">
        <w:tc>
          <w:tcPr>
            <w:tcW w:w="2466" w:type="dxa"/>
            <w:vAlign w:val="center"/>
          </w:tcPr>
          <w:p w:rsidR="000001E7" w:rsidRPr="00DE6A25" w:rsidRDefault="000001E7" w:rsidP="008A099B">
            <w:pPr>
              <w:pStyle w:val="IQB-Merkmal"/>
            </w:pPr>
            <w:r w:rsidRPr="00DE6A25">
              <w:t>Anforderungsbereich</w:t>
            </w:r>
          </w:p>
        </w:tc>
        <w:tc>
          <w:tcPr>
            <w:tcW w:w="6604" w:type="dxa"/>
          </w:tcPr>
          <w:p w:rsidR="000001E7" w:rsidRPr="00DE6A25" w:rsidRDefault="000001E7" w:rsidP="008A099B">
            <w:pPr>
              <w:pStyle w:val="IQB-Merkmalswert"/>
              <w:rPr>
                <w:sz w:val="22"/>
                <w:szCs w:val="22"/>
              </w:rPr>
            </w:pPr>
            <w:r w:rsidRPr="00DE6A25">
              <w:rPr>
                <w:sz w:val="22"/>
                <w:szCs w:val="22"/>
              </w:rPr>
              <w:t>I</w:t>
            </w:r>
          </w:p>
        </w:tc>
      </w:tr>
      <w:tr w:rsidR="000001E7" w:rsidTr="000001E7">
        <w:tc>
          <w:tcPr>
            <w:tcW w:w="2466" w:type="dxa"/>
            <w:vAlign w:val="center"/>
          </w:tcPr>
          <w:p w:rsidR="000001E7" w:rsidRPr="00DE6A25" w:rsidRDefault="000001E7" w:rsidP="008A099B">
            <w:pPr>
              <w:pStyle w:val="IQB-Merkmal"/>
            </w:pPr>
            <w:r w:rsidRPr="00DE6A25">
              <w:t>Kompetenzstufe</w:t>
            </w:r>
          </w:p>
        </w:tc>
        <w:tc>
          <w:tcPr>
            <w:tcW w:w="6604" w:type="dxa"/>
          </w:tcPr>
          <w:p w:rsidR="000001E7" w:rsidRPr="00DE6A25" w:rsidRDefault="000001E7" w:rsidP="008A099B">
            <w:pPr>
              <w:pStyle w:val="IQB-Merkmalswert"/>
              <w:rPr>
                <w:sz w:val="22"/>
                <w:szCs w:val="22"/>
              </w:rPr>
            </w:pPr>
            <w:r w:rsidRPr="00DE6A25">
              <w:rPr>
                <w:sz w:val="22"/>
                <w:szCs w:val="22"/>
              </w:rPr>
              <w:t>2</w:t>
            </w:r>
          </w:p>
        </w:tc>
      </w:tr>
    </w:tbl>
    <w:p w:rsidR="00694A63" w:rsidRPr="00694A63" w:rsidRDefault="00694A63" w:rsidP="00694A63">
      <w:pPr>
        <w:pStyle w:val="IQB-Teilaufgabentitel"/>
        <w:rPr>
          <w:b/>
        </w:rPr>
      </w:pPr>
      <w:r w:rsidRPr="00694A63">
        <w:rPr>
          <w:b/>
        </w:rPr>
        <w:t>Aufgabenbezogener Kommentar</w:t>
      </w:r>
    </w:p>
    <w:p w:rsidR="000001E7" w:rsidRPr="000001E7" w:rsidRDefault="000001E7" w:rsidP="000001E7">
      <w:pPr>
        <w:jc w:val="both"/>
        <w:rPr>
          <w:rFonts w:ascii="Arial" w:hAnsi="Arial"/>
          <w:sz w:val="22"/>
          <w:szCs w:val="22"/>
        </w:rPr>
      </w:pPr>
      <w:r w:rsidRPr="000001E7">
        <w:rPr>
          <w:rFonts w:ascii="Arial" w:hAnsi="Arial"/>
          <w:sz w:val="22"/>
          <w:szCs w:val="22"/>
        </w:rPr>
        <w:t xml:space="preserve">In der Aufgabe „Pappschachtel“ werden ein Volumen und eine Länge ermittelt. Daher gehört diese Aufgabe zur Leitidee </w:t>
      </w:r>
      <w:r w:rsidRPr="000001E7">
        <w:rPr>
          <w:rFonts w:ascii="Arial" w:hAnsi="Arial"/>
          <w:i/>
          <w:sz w:val="22"/>
          <w:szCs w:val="22"/>
        </w:rPr>
        <w:t>Messen</w:t>
      </w:r>
      <w:r w:rsidRPr="000001E7">
        <w:rPr>
          <w:rFonts w:ascii="Arial" w:hAnsi="Arial"/>
          <w:sz w:val="22"/>
          <w:szCs w:val="22"/>
        </w:rPr>
        <w:t> (L2).</w:t>
      </w:r>
    </w:p>
    <w:p w:rsidR="000001E7" w:rsidRPr="000001E7" w:rsidRDefault="000001E7" w:rsidP="000001E7">
      <w:pPr>
        <w:jc w:val="both"/>
        <w:rPr>
          <w:rFonts w:ascii="Arial" w:hAnsi="Arial"/>
          <w:sz w:val="22"/>
          <w:szCs w:val="22"/>
        </w:rPr>
      </w:pPr>
    </w:p>
    <w:p w:rsidR="000001E7" w:rsidRPr="000001E7" w:rsidRDefault="000001E7" w:rsidP="000001E7">
      <w:pPr>
        <w:jc w:val="both"/>
        <w:rPr>
          <w:rFonts w:ascii="Arial" w:hAnsi="Arial"/>
          <w:sz w:val="22"/>
          <w:szCs w:val="22"/>
        </w:rPr>
      </w:pPr>
      <w:r w:rsidRPr="000001E7">
        <w:rPr>
          <w:rFonts w:ascii="Arial" w:hAnsi="Arial"/>
          <w:sz w:val="22"/>
          <w:szCs w:val="22"/>
        </w:rPr>
        <w:t xml:space="preserve">In Teilaufgabe 1 berechnen Schülerinnen und Schüler das Volumen eines Quaders mithilfe der zugehörigen Formel; in Teilaufgabe 2 stellen Schülerinnen und Schüler eigenständig einen Term zur Berechnung der gesuchten Seitenlänge auf. In beiden Fällen wird also die Kompetenz </w:t>
      </w:r>
      <w:r w:rsidRPr="000001E7">
        <w:rPr>
          <w:rFonts w:ascii="Arial" w:hAnsi="Arial"/>
          <w:i/>
          <w:sz w:val="22"/>
          <w:szCs w:val="22"/>
        </w:rPr>
        <w:t>Mit symbolischen, formalen und technischen Elementen der Mathematik umgehen</w:t>
      </w:r>
      <w:r w:rsidRPr="000001E7">
        <w:rPr>
          <w:rFonts w:ascii="Arial" w:hAnsi="Arial"/>
          <w:sz w:val="22"/>
          <w:szCs w:val="22"/>
        </w:rPr>
        <w:t xml:space="preserve"> (K5) vorausgesetzt. In Teilaufgabe 2 werden relevante Informationen aus einer mathematischen Darstellung entnommen. Somit wird auch die Kompetenz </w:t>
      </w:r>
      <w:r w:rsidRPr="000001E7">
        <w:rPr>
          <w:rFonts w:ascii="Arial" w:hAnsi="Arial"/>
          <w:i/>
          <w:sz w:val="22"/>
          <w:szCs w:val="22"/>
        </w:rPr>
        <w:t>Mathematische Darstellungen verwenden</w:t>
      </w:r>
      <w:r w:rsidRPr="000001E7">
        <w:rPr>
          <w:rFonts w:ascii="Arial" w:hAnsi="Arial"/>
          <w:sz w:val="22"/>
          <w:szCs w:val="22"/>
        </w:rPr>
        <w:t xml:space="preserve"> (K4) benötigt. Da nicht auf ein gänzlich bekanntes Verfahren zurückgegriffen werden kann, verlangt Teilaufgabe 2 außerdem die Kompetenz </w:t>
      </w:r>
      <w:r w:rsidRPr="000001E7">
        <w:rPr>
          <w:rFonts w:ascii="Arial" w:hAnsi="Arial"/>
          <w:i/>
          <w:sz w:val="22"/>
          <w:szCs w:val="22"/>
        </w:rPr>
        <w:t>Probleme mathematisch lösen </w:t>
      </w:r>
      <w:r w:rsidRPr="000001E7">
        <w:rPr>
          <w:rFonts w:ascii="Arial" w:hAnsi="Arial"/>
          <w:sz w:val="22"/>
          <w:szCs w:val="22"/>
        </w:rPr>
        <w:t>(K2).</w:t>
      </w:r>
    </w:p>
    <w:p w:rsidR="000001E7" w:rsidRPr="000001E7" w:rsidRDefault="000001E7" w:rsidP="000001E7">
      <w:pPr>
        <w:jc w:val="both"/>
        <w:rPr>
          <w:rFonts w:ascii="Arial" w:hAnsi="Arial"/>
          <w:sz w:val="22"/>
          <w:szCs w:val="22"/>
        </w:rPr>
      </w:pPr>
    </w:p>
    <w:p w:rsidR="000001E7" w:rsidRPr="000001E7" w:rsidRDefault="000001E7" w:rsidP="000001E7">
      <w:pPr>
        <w:jc w:val="both"/>
        <w:rPr>
          <w:rFonts w:ascii="Arial" w:hAnsi="Arial"/>
          <w:sz w:val="22"/>
          <w:szCs w:val="22"/>
        </w:rPr>
      </w:pPr>
      <w:r w:rsidRPr="000001E7">
        <w:rPr>
          <w:rFonts w:ascii="Arial" w:hAnsi="Arial"/>
          <w:sz w:val="22"/>
          <w:szCs w:val="22"/>
        </w:rPr>
        <w:t>Da in Teilaufgabe 1 eine vertraute Formel zur Berechnung genutzt wird, gehört diese Teilaufgabe zum Anforderungsbereich I. Teilaufgabe 2 wird trotz mehrerer beteiligter Kompetenzen ebenfalls dem Anforderungsbereich I zugeordnet. So wird lediglich eine vertraute Darstellung genutzt, eine Routineaufgabe gelöst, und eine einfache Rechnung durchgeführt.</w:t>
      </w:r>
    </w:p>
    <w:p w:rsidR="00694A63" w:rsidRPr="00694A63" w:rsidRDefault="00694A63" w:rsidP="00694A63">
      <w:pPr>
        <w:pStyle w:val="IQB-Teilaufgabentitel"/>
        <w:rPr>
          <w:b/>
        </w:rPr>
      </w:pPr>
      <w:r w:rsidRPr="00694A63">
        <w:rPr>
          <w:b/>
        </w:rPr>
        <w:t>Anregungen für den Unterricht</w:t>
      </w:r>
    </w:p>
    <w:p w:rsidR="000001E7" w:rsidRPr="000001E7" w:rsidRDefault="000001E7" w:rsidP="000001E7">
      <w:pPr>
        <w:jc w:val="both"/>
        <w:rPr>
          <w:rFonts w:ascii="Arial" w:hAnsi="Arial"/>
          <w:sz w:val="22"/>
          <w:szCs w:val="22"/>
        </w:rPr>
      </w:pPr>
      <w:r w:rsidRPr="000001E7">
        <w:rPr>
          <w:rFonts w:ascii="Arial" w:hAnsi="Arial"/>
          <w:sz w:val="22"/>
          <w:szCs w:val="22"/>
        </w:rPr>
        <w:t>Die Maximierung des Volumens einer nach oben geöffneten Schachtel ist ein bekanntes Problem, welches in der Regel in der Oberstufe oft neben anderen Extremwertproblemen mit Nebenbedingungen behandelt wird. Die Aufgabe „Pappschachtel“ deutet an, wie man bereits in der Sekundarstufe I auf dieses Problem hinarbeiten kann. Durch weitere Aufgaben kann noch gezielter auf das Extremwertproblem hingearbeitet werden. In der folgenden Beispielaufgabe 1 wird durch die Berechnung des Volumens mit einer anderen Höhe der Schachtel verdeutlicht, dass das Volumen abhängig von der Höhe der Schachtel ist. Damit wird einer bei Schülerinnen und Schülern womöglich anzutreffenden Überzeugung entgegengewirkt, die in der Annahme besteht, dass bei der Verwendung des gleichen Blattes auch immer das gleiche Volumen entsteht.</w:t>
      </w:r>
    </w:p>
    <w:p w:rsidR="000001E7" w:rsidRPr="000001E7" w:rsidRDefault="000001E7" w:rsidP="000001E7">
      <w:pPr>
        <w:jc w:val="both"/>
        <w:rPr>
          <w:rFonts w:ascii="Arial" w:hAnsi="Arial"/>
          <w:sz w:val="22"/>
          <w:szCs w:val="22"/>
        </w:rPr>
      </w:pPr>
    </w:p>
    <w:p w:rsidR="000001E7" w:rsidRDefault="000001E7" w:rsidP="000001E7">
      <w:pPr>
        <w:jc w:val="both"/>
        <w:rPr>
          <w:rFonts w:ascii="Arial" w:hAnsi="Arial"/>
          <w:b/>
          <w:sz w:val="22"/>
          <w:szCs w:val="22"/>
        </w:rPr>
      </w:pPr>
    </w:p>
    <w:p w:rsidR="000001E7" w:rsidRDefault="000001E7" w:rsidP="000001E7">
      <w:pPr>
        <w:jc w:val="both"/>
        <w:rPr>
          <w:rFonts w:ascii="Arial" w:hAnsi="Arial"/>
          <w:b/>
          <w:sz w:val="22"/>
          <w:szCs w:val="22"/>
        </w:rPr>
      </w:pPr>
    </w:p>
    <w:p w:rsidR="000001E7" w:rsidRDefault="000001E7" w:rsidP="000001E7">
      <w:pPr>
        <w:jc w:val="both"/>
        <w:rPr>
          <w:rFonts w:ascii="Arial" w:hAnsi="Arial"/>
          <w:b/>
          <w:sz w:val="22"/>
          <w:szCs w:val="22"/>
        </w:rPr>
      </w:pPr>
    </w:p>
    <w:p w:rsidR="000001E7" w:rsidRDefault="000001E7" w:rsidP="000001E7">
      <w:pPr>
        <w:jc w:val="both"/>
        <w:rPr>
          <w:rFonts w:ascii="Arial" w:hAnsi="Arial"/>
          <w:b/>
          <w:sz w:val="22"/>
          <w:szCs w:val="22"/>
        </w:rPr>
      </w:pPr>
    </w:p>
    <w:p w:rsidR="000001E7" w:rsidRDefault="000001E7" w:rsidP="000001E7">
      <w:pPr>
        <w:jc w:val="both"/>
        <w:rPr>
          <w:rFonts w:ascii="Arial" w:hAnsi="Arial"/>
          <w:b/>
          <w:sz w:val="22"/>
          <w:szCs w:val="22"/>
        </w:rPr>
      </w:pPr>
    </w:p>
    <w:p w:rsidR="000001E7" w:rsidRPr="000001E7" w:rsidRDefault="000001E7" w:rsidP="000001E7">
      <w:pPr>
        <w:jc w:val="both"/>
        <w:rPr>
          <w:rFonts w:ascii="Arial" w:hAnsi="Arial"/>
          <w:b/>
          <w:sz w:val="22"/>
          <w:szCs w:val="22"/>
        </w:rPr>
      </w:pPr>
      <w:r w:rsidRPr="000001E7">
        <w:rPr>
          <w:rFonts w:ascii="Arial" w:hAnsi="Arial"/>
          <w:b/>
          <w:sz w:val="22"/>
          <w:szCs w:val="22"/>
        </w:rPr>
        <w:lastRenderedPageBreak/>
        <w:t>Beispielaufgabe 1</w:t>
      </w:r>
    </w:p>
    <w:p w:rsidR="000001E7" w:rsidRPr="000001E7" w:rsidRDefault="000001E7" w:rsidP="000001E7">
      <w:pPr>
        <w:widowControl w:val="0"/>
        <w:spacing w:after="120"/>
        <w:jc w:val="both"/>
        <w:rPr>
          <w:rFonts w:ascii="Arial" w:hAnsi="Arial"/>
          <w:sz w:val="22"/>
          <w:szCs w:val="22"/>
          <w:lang w:val="x-none" w:eastAsia="x-none"/>
        </w:rPr>
      </w:pPr>
      <w:r w:rsidRPr="000001E7">
        <w:rPr>
          <w:rFonts w:ascii="Arial" w:hAnsi="Arial"/>
          <w:noProof/>
          <w:sz w:val="22"/>
          <w:szCs w:val="22"/>
        </w:rPr>
        <w:drawing>
          <wp:inline distT="0" distB="0" distL="0" distR="0">
            <wp:extent cx="4318635" cy="1113790"/>
            <wp:effectExtent l="0" t="0" r="5715"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line Text Wrapping Pictur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18635" cy="1113790"/>
                    </a:xfrm>
                    <a:prstGeom prst="rect">
                      <a:avLst/>
                    </a:prstGeom>
                    <a:noFill/>
                    <a:ln>
                      <a:noFill/>
                    </a:ln>
                  </pic:spPr>
                </pic:pic>
              </a:graphicData>
            </a:graphic>
          </wp:inline>
        </w:drawing>
      </w:r>
    </w:p>
    <w:p w:rsidR="000001E7" w:rsidRDefault="000001E7" w:rsidP="000001E7">
      <w:pPr>
        <w:jc w:val="both"/>
        <w:rPr>
          <w:rFonts w:ascii="Arial" w:hAnsi="Arial"/>
          <w:sz w:val="22"/>
          <w:szCs w:val="22"/>
        </w:rPr>
      </w:pPr>
      <w:r w:rsidRPr="000001E7">
        <w:rPr>
          <w:rFonts w:ascii="Arial" w:hAnsi="Arial"/>
          <w:sz w:val="22"/>
          <w:szCs w:val="22"/>
        </w:rPr>
        <w:t>Beispielaufgabe 2 dient nun dazu, den Blick umzukehren. Bisher wurde die Höhe der Schachtel vorgegeben; nun ist die Länge gesucht. An dieser Stelle können Schülerinnen und Schüler mithilfe systematischen Ausprobierens zum Ziel gelangen. Zur Veranschaulichung des Vorgehens ist es als Auswertungsanleitung unter der folgenden Aufgabe angegeben. Dieses Vorgehen bietet zum einen den Vorteil, dass es leicht zugänglich ist und keine großen algebraischen Hürden überwunden werden müssen. Zum anderen wird durch das systematische Ausprobieren der dynamische Charakter des Problems verdeutlicht.</w:t>
      </w:r>
    </w:p>
    <w:p w:rsidR="000001E7" w:rsidRPr="000001E7" w:rsidRDefault="000001E7" w:rsidP="000001E7">
      <w:pPr>
        <w:jc w:val="both"/>
        <w:rPr>
          <w:rFonts w:ascii="Arial" w:hAnsi="Arial"/>
          <w:sz w:val="22"/>
          <w:szCs w:val="22"/>
        </w:rPr>
      </w:pPr>
      <w:r w:rsidRPr="000001E7">
        <w:rPr>
          <w:rFonts w:ascii="Arial" w:hAnsi="Arial"/>
          <w:sz w:val="22"/>
          <w:szCs w:val="22"/>
        </w:rPr>
        <w:t xml:space="preserve"> </w:t>
      </w:r>
    </w:p>
    <w:p w:rsidR="000001E7" w:rsidRPr="000001E7" w:rsidRDefault="000001E7" w:rsidP="000001E7">
      <w:pPr>
        <w:jc w:val="both"/>
        <w:rPr>
          <w:rFonts w:ascii="Arial" w:hAnsi="Arial"/>
          <w:b/>
          <w:sz w:val="22"/>
          <w:szCs w:val="22"/>
        </w:rPr>
      </w:pPr>
      <w:r w:rsidRPr="000001E7">
        <w:rPr>
          <w:rFonts w:ascii="Arial" w:hAnsi="Arial"/>
          <w:b/>
          <w:sz w:val="22"/>
          <w:szCs w:val="22"/>
        </w:rPr>
        <w:t>Beispielaufgabe 2</w:t>
      </w:r>
    </w:p>
    <w:p w:rsidR="000001E7" w:rsidRPr="000001E7" w:rsidRDefault="000001E7" w:rsidP="000001E7">
      <w:pPr>
        <w:widowControl w:val="0"/>
        <w:spacing w:after="120"/>
        <w:rPr>
          <w:rFonts w:ascii="Arial" w:hAnsi="Arial"/>
          <w:szCs w:val="20"/>
          <w:lang w:val="x-none" w:eastAsia="x-none"/>
        </w:rPr>
      </w:pPr>
      <w:r w:rsidRPr="000001E7">
        <w:rPr>
          <w:rFonts w:ascii="Arial" w:hAnsi="Arial"/>
          <w:noProof/>
          <w:szCs w:val="20"/>
        </w:rPr>
        <w:drawing>
          <wp:inline distT="0" distB="0" distL="0" distR="0">
            <wp:extent cx="4318635" cy="506730"/>
            <wp:effectExtent l="0" t="0" r="5715" b="762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line Text Wrapping Pictur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18635" cy="506730"/>
                    </a:xfrm>
                    <a:prstGeom prst="rect">
                      <a:avLst/>
                    </a:prstGeom>
                    <a:noFill/>
                    <a:ln>
                      <a:noFill/>
                    </a:ln>
                  </pic:spPr>
                </pic:pic>
              </a:graphicData>
            </a:graphic>
          </wp:inline>
        </w:drawing>
      </w:r>
      <w:r w:rsidRPr="000001E7">
        <w:rPr>
          <w:rFonts w:ascii="Arial" w:hAnsi="Arial"/>
          <w:szCs w:val="20"/>
          <w:lang w:val="x-none" w:eastAsia="x-none"/>
        </w:rPr>
        <w:br/>
      </w:r>
      <w:r w:rsidRPr="000001E7">
        <w:rPr>
          <w:rFonts w:ascii="Arial" w:hAnsi="Arial"/>
          <w:noProof/>
          <w:szCs w:val="20"/>
        </w:rPr>
        <w:drawing>
          <wp:inline distT="0" distB="0" distL="0" distR="0">
            <wp:extent cx="4318635" cy="2534920"/>
            <wp:effectExtent l="0" t="0" r="5715"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line Text Wrapping Pictur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18635" cy="2534920"/>
                    </a:xfrm>
                    <a:prstGeom prst="rect">
                      <a:avLst/>
                    </a:prstGeom>
                    <a:noFill/>
                    <a:ln>
                      <a:noFill/>
                    </a:ln>
                  </pic:spPr>
                </pic:pic>
              </a:graphicData>
            </a:graphic>
          </wp:inline>
        </w:drawing>
      </w:r>
    </w:p>
    <w:p w:rsidR="000001E7" w:rsidRPr="000001E7" w:rsidRDefault="000001E7" w:rsidP="000001E7">
      <w:pPr>
        <w:keepNext/>
        <w:spacing w:before="360"/>
        <w:rPr>
          <w:rFonts w:ascii="Arial" w:hAnsi="Arial"/>
          <w:szCs w:val="20"/>
          <w:lang w:val="x-none" w:eastAsia="x-none"/>
        </w:rPr>
      </w:pPr>
      <w:r w:rsidRPr="000001E7">
        <w:rPr>
          <w:rFonts w:ascii="Arial" w:hAnsi="Arial"/>
          <w:szCs w:val="20"/>
          <w:lang w:val="x-none" w:eastAsia="x-none"/>
        </w:rPr>
        <w:t>Auswertung</w:t>
      </w: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1133"/>
        <w:gridCol w:w="7937"/>
      </w:tblGrid>
      <w:tr w:rsidR="000001E7" w:rsidRPr="000001E7" w:rsidTr="008A099B">
        <w:tc>
          <w:tcPr>
            <w:tcW w:w="1133" w:type="dxa"/>
            <w:vAlign w:val="center"/>
          </w:tcPr>
          <w:p w:rsidR="000001E7" w:rsidRPr="000001E7" w:rsidRDefault="000001E7" w:rsidP="000001E7">
            <w:pPr>
              <w:jc w:val="center"/>
              <w:rPr>
                <w:rFonts w:ascii="Arial" w:hAnsi="Arial"/>
                <w:sz w:val="22"/>
                <w:szCs w:val="22"/>
                <w:lang w:val="x-none" w:eastAsia="x-none"/>
              </w:rPr>
            </w:pPr>
            <w:r w:rsidRPr="000001E7">
              <w:rPr>
                <w:rFonts w:ascii="Arial" w:hAnsi="Arial"/>
                <w:sz w:val="22"/>
                <w:szCs w:val="22"/>
                <w:lang w:val="x-none" w:eastAsia="x-none"/>
              </w:rPr>
              <w:t>RICHTIG</w:t>
            </w:r>
          </w:p>
        </w:tc>
        <w:tc>
          <w:tcPr>
            <w:tcW w:w="7937" w:type="dxa"/>
          </w:tcPr>
          <w:p w:rsidR="000001E7" w:rsidRPr="000001E7" w:rsidRDefault="000001E7" w:rsidP="000001E7">
            <w:pPr>
              <w:tabs>
                <w:tab w:val="left" w:pos="217"/>
              </w:tabs>
              <w:rPr>
                <w:rFonts w:ascii="Arial" w:hAnsi="Arial"/>
                <w:sz w:val="22"/>
                <w:szCs w:val="22"/>
                <w:lang w:eastAsia="x-none"/>
              </w:rPr>
            </w:pPr>
            <w:r w:rsidRPr="000001E7">
              <w:rPr>
                <w:rFonts w:ascii="Arial" w:hAnsi="Arial"/>
                <w:sz w:val="22"/>
                <w:szCs w:val="22"/>
                <w:lang w:eastAsia="x-none"/>
              </w:rPr>
              <w:t>Eine Zahl aus dem Intervall [3,5; 3,7]</w:t>
            </w:r>
          </w:p>
          <w:p w:rsidR="000001E7" w:rsidRPr="000001E7" w:rsidRDefault="000001E7" w:rsidP="000001E7">
            <w:pPr>
              <w:tabs>
                <w:tab w:val="left" w:pos="217"/>
              </w:tabs>
              <w:rPr>
                <w:rFonts w:ascii="Arial" w:hAnsi="Arial"/>
                <w:sz w:val="22"/>
                <w:szCs w:val="22"/>
                <w:lang w:eastAsia="x-none"/>
              </w:rPr>
            </w:pPr>
          </w:p>
          <w:p w:rsidR="000001E7" w:rsidRPr="000001E7" w:rsidRDefault="000001E7" w:rsidP="000001E7">
            <w:pPr>
              <w:tabs>
                <w:tab w:val="left" w:pos="217"/>
              </w:tabs>
              <w:rPr>
                <w:rFonts w:ascii="Arial" w:hAnsi="Arial"/>
                <w:sz w:val="22"/>
                <w:szCs w:val="22"/>
                <w:lang w:eastAsia="x-none"/>
              </w:rPr>
            </w:pPr>
            <w:r w:rsidRPr="000001E7">
              <w:rPr>
                <w:rFonts w:ascii="Arial" w:hAnsi="Arial"/>
                <w:sz w:val="22"/>
                <w:szCs w:val="22"/>
                <w:lang w:eastAsia="x-none"/>
              </w:rPr>
              <w:t xml:space="preserve">UND </w:t>
            </w:r>
          </w:p>
          <w:p w:rsidR="000001E7" w:rsidRPr="000001E7" w:rsidRDefault="000001E7" w:rsidP="000001E7">
            <w:pPr>
              <w:tabs>
                <w:tab w:val="left" w:pos="217"/>
              </w:tabs>
              <w:rPr>
                <w:rFonts w:ascii="Arial" w:hAnsi="Arial"/>
                <w:sz w:val="22"/>
                <w:szCs w:val="22"/>
                <w:lang w:eastAsia="x-none"/>
              </w:rPr>
            </w:pPr>
          </w:p>
          <w:p w:rsidR="000001E7" w:rsidRPr="000001E7" w:rsidRDefault="000001E7" w:rsidP="000001E7">
            <w:pPr>
              <w:tabs>
                <w:tab w:val="left" w:pos="217"/>
              </w:tabs>
              <w:rPr>
                <w:rFonts w:ascii="Arial" w:hAnsi="Arial"/>
                <w:sz w:val="22"/>
                <w:szCs w:val="22"/>
                <w:lang w:eastAsia="x-none"/>
              </w:rPr>
            </w:pPr>
            <w:r w:rsidRPr="000001E7">
              <w:rPr>
                <w:rFonts w:ascii="Arial" w:hAnsi="Arial"/>
                <w:sz w:val="22"/>
                <w:szCs w:val="22"/>
                <w:lang w:eastAsia="x-none"/>
              </w:rPr>
              <w:t xml:space="preserve">Lösungsweg, der auf (systematischem) Probieren oder algebraischer Bestimmung von </w:t>
            </w:r>
            <w:r w:rsidRPr="000001E7">
              <w:rPr>
                <w:rFonts w:ascii="Arial" w:hAnsi="Arial"/>
                <w:i/>
                <w:sz w:val="22"/>
                <w:szCs w:val="22"/>
                <w:lang w:eastAsia="x-none"/>
              </w:rPr>
              <w:t>x</w:t>
            </w:r>
            <w:r w:rsidRPr="000001E7">
              <w:rPr>
                <w:rFonts w:ascii="Arial" w:hAnsi="Arial"/>
                <w:sz w:val="22"/>
                <w:szCs w:val="22"/>
                <w:lang w:eastAsia="x-none"/>
              </w:rPr>
              <w:t xml:space="preserve"> beruht.</w:t>
            </w:r>
          </w:p>
          <w:p w:rsidR="000001E7" w:rsidRPr="000001E7" w:rsidRDefault="000001E7" w:rsidP="000001E7">
            <w:pPr>
              <w:tabs>
                <w:tab w:val="left" w:pos="217"/>
              </w:tabs>
              <w:rPr>
                <w:rFonts w:ascii="Arial" w:hAnsi="Arial"/>
                <w:sz w:val="22"/>
                <w:szCs w:val="22"/>
                <w:lang w:eastAsia="x-none"/>
              </w:rPr>
            </w:pPr>
          </w:p>
          <w:p w:rsidR="000001E7" w:rsidRPr="000001E7" w:rsidRDefault="000001E7" w:rsidP="000001E7">
            <w:pPr>
              <w:tabs>
                <w:tab w:val="left" w:pos="217"/>
              </w:tabs>
              <w:rPr>
                <w:rFonts w:ascii="Arial" w:hAnsi="Arial"/>
                <w:sz w:val="22"/>
                <w:szCs w:val="22"/>
                <w:lang w:eastAsia="x-none"/>
              </w:rPr>
            </w:pPr>
            <w:r w:rsidRPr="000001E7">
              <w:rPr>
                <w:rFonts w:ascii="Arial" w:hAnsi="Arial"/>
                <w:sz w:val="22"/>
                <w:szCs w:val="22"/>
                <w:lang w:eastAsia="x-none"/>
              </w:rPr>
              <w:t>Beispiel(e)</w:t>
            </w:r>
          </w:p>
          <w:p w:rsidR="000001E7" w:rsidRPr="000001E7" w:rsidRDefault="000001E7" w:rsidP="000001E7">
            <w:pPr>
              <w:tabs>
                <w:tab w:val="left" w:pos="217"/>
              </w:tabs>
              <w:rPr>
                <w:rFonts w:ascii="Arial" w:hAnsi="Arial"/>
                <w:i/>
                <w:sz w:val="22"/>
                <w:szCs w:val="22"/>
                <w:lang w:eastAsia="x-none"/>
              </w:rPr>
            </w:pPr>
            <w:r w:rsidRPr="000001E7">
              <w:rPr>
                <w:rFonts w:ascii="Arial" w:hAnsi="Arial"/>
                <w:sz w:val="22"/>
                <w:szCs w:val="20"/>
                <w:lang w:eastAsia="x-none"/>
              </w:rPr>
              <w:t xml:space="preserve">- </w:t>
            </w:r>
            <w:r w:rsidRPr="000001E7">
              <w:rPr>
                <w:rFonts w:ascii="Arial" w:hAnsi="Arial"/>
                <w:i/>
                <w:position w:val="-10"/>
                <w:sz w:val="22"/>
                <w:szCs w:val="20"/>
                <w:lang w:val="x-none" w:eastAsia="x-none"/>
              </w:rPr>
              <w:object w:dxaOrig="5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30" type="#_x0000_t75" style="width:27.8pt;height:14.95pt" o:ole="">
                  <v:imagedata r:id="rId11" o:title=""/>
                </v:shape>
                <o:OLEObject Type="Embed" ProgID="Equation.DSMT4" ShapeID="_x0000_i1130" DrawAspect="Content" ObjectID="_1814854878" r:id="rId12"/>
              </w:object>
            </w:r>
            <w:r w:rsidRPr="000001E7">
              <w:rPr>
                <w:rFonts w:ascii="Arial" w:hAnsi="Arial"/>
                <w:i/>
                <w:sz w:val="22"/>
                <w:szCs w:val="22"/>
                <w:lang w:eastAsia="x-none"/>
              </w:rPr>
              <w:t xml:space="preserve">; dann </w:t>
            </w:r>
            <w:r w:rsidRPr="000001E7">
              <w:rPr>
                <w:rFonts w:ascii="Arial" w:hAnsi="Arial"/>
                <w:i/>
                <w:position w:val="-10"/>
                <w:sz w:val="22"/>
                <w:szCs w:val="20"/>
                <w:lang w:val="x-none" w:eastAsia="x-none"/>
              </w:rPr>
              <w:object w:dxaOrig="1219" w:dyaOrig="340">
                <v:shape id="_x0000_i1131" type="#_x0000_t75" style="width:60.6pt;height:17.1pt" o:ole="">
                  <v:imagedata r:id="rId13" o:title=""/>
                </v:shape>
                <o:OLEObject Type="Embed" ProgID="Equation.DSMT4" ShapeID="_x0000_i1131" DrawAspect="Content" ObjectID="_1814854879" r:id="rId14"/>
              </w:object>
            </w:r>
          </w:p>
          <w:p w:rsidR="000001E7" w:rsidRPr="000001E7" w:rsidRDefault="000001E7" w:rsidP="000001E7">
            <w:pPr>
              <w:tabs>
                <w:tab w:val="left" w:pos="217"/>
              </w:tabs>
              <w:rPr>
                <w:rFonts w:ascii="Arial" w:hAnsi="Arial"/>
                <w:i/>
                <w:sz w:val="22"/>
                <w:szCs w:val="22"/>
                <w:lang w:eastAsia="x-none"/>
              </w:rPr>
            </w:pPr>
            <w:r w:rsidRPr="000001E7">
              <w:rPr>
                <w:rFonts w:ascii="Arial" w:hAnsi="Arial"/>
                <w:i/>
                <w:sz w:val="22"/>
                <w:szCs w:val="22"/>
                <w:lang w:eastAsia="x-none"/>
              </w:rPr>
              <w:t xml:space="preserve">- </w:t>
            </w:r>
            <w:r w:rsidRPr="000001E7">
              <w:rPr>
                <w:rFonts w:ascii="Arial" w:hAnsi="Arial"/>
                <w:i/>
                <w:position w:val="-10"/>
                <w:sz w:val="22"/>
                <w:szCs w:val="20"/>
                <w:lang w:val="x-none" w:eastAsia="x-none"/>
              </w:rPr>
              <w:object w:dxaOrig="560" w:dyaOrig="300">
                <v:shape id="_x0000_i1132" type="#_x0000_t75" style="width:27.8pt;height:14.95pt" o:ole="">
                  <v:imagedata r:id="rId15" o:title=""/>
                </v:shape>
                <o:OLEObject Type="Embed" ProgID="Equation.DSMT4" ShapeID="_x0000_i1132" DrawAspect="Content" ObjectID="_1814854880" r:id="rId16"/>
              </w:object>
            </w:r>
            <w:r w:rsidRPr="000001E7">
              <w:rPr>
                <w:rFonts w:ascii="Arial" w:hAnsi="Arial"/>
                <w:i/>
                <w:sz w:val="22"/>
                <w:szCs w:val="22"/>
                <w:lang w:eastAsia="x-none"/>
              </w:rPr>
              <w:t xml:space="preserve">; dann </w:t>
            </w:r>
            <w:r w:rsidRPr="000001E7">
              <w:rPr>
                <w:rFonts w:ascii="Arial" w:hAnsi="Arial"/>
                <w:i/>
                <w:position w:val="-10"/>
                <w:sz w:val="22"/>
                <w:szCs w:val="20"/>
                <w:lang w:val="x-none" w:eastAsia="x-none"/>
              </w:rPr>
              <w:object w:dxaOrig="1219" w:dyaOrig="340">
                <v:shape id="_x0000_i1133" type="#_x0000_t75" style="width:60.6pt;height:17.1pt" o:ole="">
                  <v:imagedata r:id="rId17" o:title=""/>
                </v:shape>
                <o:OLEObject Type="Embed" ProgID="Equation.DSMT4" ShapeID="_x0000_i1133" DrawAspect="Content" ObjectID="_1814854881" r:id="rId18"/>
              </w:object>
            </w:r>
          </w:p>
          <w:p w:rsidR="000001E7" w:rsidRPr="000001E7" w:rsidRDefault="000001E7" w:rsidP="000001E7">
            <w:pPr>
              <w:tabs>
                <w:tab w:val="left" w:pos="217"/>
              </w:tabs>
              <w:rPr>
                <w:rFonts w:ascii="Arial" w:hAnsi="Arial"/>
                <w:i/>
                <w:sz w:val="22"/>
                <w:szCs w:val="22"/>
                <w:lang w:eastAsia="x-none"/>
              </w:rPr>
            </w:pPr>
            <w:r w:rsidRPr="000001E7">
              <w:rPr>
                <w:rFonts w:ascii="Arial" w:hAnsi="Arial"/>
                <w:i/>
                <w:sz w:val="22"/>
                <w:szCs w:val="22"/>
                <w:lang w:eastAsia="x-none"/>
              </w:rPr>
              <w:t xml:space="preserve">- </w:t>
            </w:r>
            <w:r w:rsidRPr="000001E7">
              <w:rPr>
                <w:rFonts w:ascii="Arial" w:hAnsi="Arial"/>
                <w:i/>
                <w:position w:val="-10"/>
                <w:sz w:val="22"/>
                <w:szCs w:val="20"/>
                <w:lang w:val="x-none" w:eastAsia="x-none"/>
              </w:rPr>
              <w:object w:dxaOrig="740" w:dyaOrig="300">
                <v:shape id="_x0000_i1134" type="#_x0000_t75" style="width:37.05pt;height:14.95pt" o:ole="">
                  <v:imagedata r:id="rId19" o:title=""/>
                </v:shape>
                <o:OLEObject Type="Embed" ProgID="Equation.DSMT4" ShapeID="_x0000_i1134" DrawAspect="Content" ObjectID="_1814854882" r:id="rId20"/>
              </w:object>
            </w:r>
            <w:r w:rsidRPr="000001E7">
              <w:rPr>
                <w:rFonts w:ascii="Arial" w:hAnsi="Arial"/>
                <w:i/>
                <w:sz w:val="22"/>
                <w:szCs w:val="22"/>
                <w:lang w:eastAsia="x-none"/>
              </w:rPr>
              <w:t xml:space="preserve">; dann </w:t>
            </w:r>
            <w:r w:rsidRPr="000001E7">
              <w:rPr>
                <w:rFonts w:ascii="Arial" w:hAnsi="Arial"/>
                <w:i/>
                <w:position w:val="-10"/>
                <w:sz w:val="22"/>
                <w:szCs w:val="20"/>
                <w:lang w:val="x-none" w:eastAsia="x-none"/>
              </w:rPr>
              <w:object w:dxaOrig="1219" w:dyaOrig="340">
                <v:shape id="_x0000_i1135" type="#_x0000_t75" style="width:60.6pt;height:17.1pt" o:ole="">
                  <v:imagedata r:id="rId21" o:title=""/>
                </v:shape>
                <o:OLEObject Type="Embed" ProgID="Equation.DSMT4" ShapeID="_x0000_i1135" DrawAspect="Content" ObjectID="_1814854883" r:id="rId22"/>
              </w:object>
            </w:r>
          </w:p>
          <w:p w:rsidR="000001E7" w:rsidRPr="000001E7" w:rsidRDefault="000001E7" w:rsidP="000001E7">
            <w:pPr>
              <w:tabs>
                <w:tab w:val="left" w:pos="217"/>
              </w:tabs>
              <w:rPr>
                <w:rFonts w:ascii="Arial" w:hAnsi="Arial"/>
                <w:i/>
                <w:sz w:val="22"/>
                <w:szCs w:val="22"/>
                <w:lang w:eastAsia="x-none"/>
              </w:rPr>
            </w:pPr>
            <w:r w:rsidRPr="000001E7">
              <w:rPr>
                <w:rFonts w:ascii="Arial" w:hAnsi="Arial"/>
                <w:i/>
                <w:sz w:val="22"/>
                <w:szCs w:val="22"/>
                <w:lang w:eastAsia="x-none"/>
              </w:rPr>
              <w:t xml:space="preserve">- </w:t>
            </w:r>
            <w:r w:rsidRPr="000001E7">
              <w:rPr>
                <w:rFonts w:ascii="Arial" w:hAnsi="Arial"/>
                <w:i/>
                <w:position w:val="-10"/>
                <w:sz w:val="22"/>
                <w:szCs w:val="20"/>
                <w:lang w:val="x-none" w:eastAsia="x-none"/>
              </w:rPr>
              <w:object w:dxaOrig="740" w:dyaOrig="300">
                <v:shape id="_x0000_i1136" type="#_x0000_t75" style="width:37.05pt;height:14.95pt" o:ole="">
                  <v:imagedata r:id="rId23" o:title=""/>
                </v:shape>
                <o:OLEObject Type="Embed" ProgID="Equation.DSMT4" ShapeID="_x0000_i1136" DrawAspect="Content" ObjectID="_1814854884" r:id="rId24"/>
              </w:object>
            </w:r>
            <w:r w:rsidRPr="000001E7">
              <w:rPr>
                <w:rFonts w:ascii="Arial" w:hAnsi="Arial"/>
                <w:i/>
                <w:sz w:val="22"/>
                <w:szCs w:val="22"/>
                <w:lang w:eastAsia="x-none"/>
              </w:rPr>
              <w:t xml:space="preserve">; dann </w:t>
            </w:r>
            <w:r w:rsidRPr="000001E7">
              <w:rPr>
                <w:rFonts w:ascii="Arial" w:hAnsi="Arial"/>
                <w:i/>
                <w:position w:val="-10"/>
                <w:sz w:val="22"/>
                <w:szCs w:val="20"/>
                <w:lang w:val="x-none" w:eastAsia="x-none"/>
              </w:rPr>
              <w:object w:dxaOrig="1200" w:dyaOrig="340">
                <v:shape id="_x0000_i1137" type="#_x0000_t75" style="width:59.9pt;height:17.1pt" o:ole="">
                  <v:imagedata r:id="rId25" o:title=""/>
                </v:shape>
                <o:OLEObject Type="Embed" ProgID="Equation.DSMT4" ShapeID="_x0000_i1137" DrawAspect="Content" ObjectID="_1814854885" r:id="rId26"/>
              </w:object>
            </w:r>
          </w:p>
          <w:p w:rsidR="000001E7" w:rsidRPr="000001E7" w:rsidRDefault="000001E7" w:rsidP="000001E7">
            <w:pPr>
              <w:tabs>
                <w:tab w:val="left" w:pos="217"/>
              </w:tabs>
              <w:rPr>
                <w:rFonts w:ascii="Arial" w:hAnsi="Arial"/>
                <w:i/>
                <w:sz w:val="22"/>
                <w:szCs w:val="22"/>
                <w:lang w:eastAsia="x-none"/>
              </w:rPr>
            </w:pPr>
            <w:r w:rsidRPr="000001E7">
              <w:rPr>
                <w:rFonts w:ascii="Arial" w:hAnsi="Arial"/>
                <w:i/>
                <w:sz w:val="22"/>
                <w:szCs w:val="22"/>
                <w:lang w:eastAsia="x-none"/>
              </w:rPr>
              <w:t xml:space="preserve">- </w:t>
            </w:r>
            <w:r w:rsidRPr="000001E7">
              <w:rPr>
                <w:rFonts w:ascii="Arial" w:hAnsi="Arial"/>
                <w:i/>
                <w:position w:val="-10"/>
                <w:sz w:val="22"/>
                <w:szCs w:val="20"/>
                <w:lang w:val="x-none" w:eastAsia="x-none"/>
              </w:rPr>
              <w:object w:dxaOrig="740" w:dyaOrig="300">
                <v:shape id="_x0000_i1138" type="#_x0000_t75" style="width:37.05pt;height:14.95pt" o:ole="">
                  <v:imagedata r:id="rId27" o:title=""/>
                </v:shape>
                <o:OLEObject Type="Embed" ProgID="Equation.DSMT4" ShapeID="_x0000_i1138" DrawAspect="Content" ObjectID="_1814854886" r:id="rId28"/>
              </w:object>
            </w:r>
            <w:r w:rsidRPr="000001E7">
              <w:rPr>
                <w:rFonts w:ascii="Arial" w:hAnsi="Arial"/>
                <w:i/>
                <w:sz w:val="22"/>
                <w:szCs w:val="22"/>
                <w:lang w:eastAsia="x-none"/>
              </w:rPr>
              <w:t xml:space="preserve">; dann </w:t>
            </w:r>
            <w:r w:rsidRPr="000001E7">
              <w:rPr>
                <w:rFonts w:ascii="Arial" w:hAnsi="Arial"/>
                <w:i/>
                <w:position w:val="-10"/>
                <w:sz w:val="22"/>
                <w:szCs w:val="20"/>
                <w:lang w:val="x-none" w:eastAsia="x-none"/>
              </w:rPr>
              <w:object w:dxaOrig="1219" w:dyaOrig="340">
                <v:shape id="_x0000_i1139" type="#_x0000_t75" style="width:60.6pt;height:17.1pt" o:ole="">
                  <v:imagedata r:id="rId29" o:title=""/>
                </v:shape>
                <o:OLEObject Type="Embed" ProgID="Equation.DSMT4" ShapeID="_x0000_i1139" DrawAspect="Content" ObjectID="_1814854887" r:id="rId30"/>
              </w:object>
            </w:r>
          </w:p>
          <w:p w:rsidR="000001E7" w:rsidRPr="000001E7" w:rsidRDefault="000001E7" w:rsidP="000001E7">
            <w:pPr>
              <w:tabs>
                <w:tab w:val="left" w:pos="217"/>
              </w:tabs>
              <w:rPr>
                <w:rFonts w:ascii="Arial" w:hAnsi="Arial"/>
                <w:sz w:val="22"/>
                <w:szCs w:val="22"/>
                <w:lang w:eastAsia="x-none"/>
              </w:rPr>
            </w:pPr>
            <w:r w:rsidRPr="000001E7">
              <w:rPr>
                <w:rFonts w:ascii="Arial" w:hAnsi="Arial"/>
                <w:i/>
                <w:sz w:val="22"/>
                <w:szCs w:val="22"/>
                <w:lang w:eastAsia="x-none"/>
              </w:rPr>
              <w:t xml:space="preserve">- Bis 3,6 ist das Volumen zu groß, ab 3,7 zu klein. Bei 3,6 ist das Volumen am dichtesten an 120 </w:t>
            </w:r>
            <w:r w:rsidRPr="000001E7">
              <w:rPr>
                <w:rFonts w:ascii="Arial" w:hAnsi="Arial"/>
                <w:i/>
                <w:position w:val="-6"/>
                <w:sz w:val="22"/>
                <w:szCs w:val="20"/>
                <w:lang w:val="x-none" w:eastAsia="x-none"/>
              </w:rPr>
              <w:object w:dxaOrig="440" w:dyaOrig="300">
                <v:shape id="_x0000_i1140" type="#_x0000_t75" style="width:22.1pt;height:14.95pt" o:ole="">
                  <v:imagedata r:id="rId31" o:title=""/>
                </v:shape>
                <o:OLEObject Type="Embed" ProgID="Equation.DSMT4" ShapeID="_x0000_i1140" DrawAspect="Content" ObjectID="_1814854888" r:id="rId32"/>
              </w:object>
            </w:r>
            <w:r w:rsidRPr="000001E7">
              <w:rPr>
                <w:rFonts w:ascii="Arial" w:hAnsi="Arial"/>
                <w:i/>
                <w:sz w:val="22"/>
                <w:szCs w:val="22"/>
                <w:lang w:eastAsia="x-none"/>
              </w:rPr>
              <w:t xml:space="preserve"> dran. Es beträgt dann ca. 121</w:t>
            </w:r>
            <w:r w:rsidRPr="000001E7">
              <w:rPr>
                <w:rFonts w:ascii="Arial" w:hAnsi="Arial"/>
                <w:i/>
                <w:position w:val="-6"/>
                <w:sz w:val="22"/>
                <w:szCs w:val="20"/>
                <w:lang w:val="x-none" w:eastAsia="x-none"/>
              </w:rPr>
              <w:object w:dxaOrig="440" w:dyaOrig="300">
                <v:shape id="_x0000_i1141" type="#_x0000_t75" style="width:22.1pt;height:14.95pt" o:ole="">
                  <v:imagedata r:id="rId33" o:title=""/>
                </v:shape>
                <o:OLEObject Type="Embed" ProgID="Equation.DSMT4" ShapeID="_x0000_i1141" DrawAspect="Content" ObjectID="_1814854889" r:id="rId34"/>
              </w:object>
            </w:r>
            <w:r w:rsidRPr="000001E7">
              <w:rPr>
                <w:rFonts w:ascii="Arial" w:hAnsi="Arial"/>
                <w:i/>
                <w:sz w:val="22"/>
                <w:szCs w:val="22"/>
                <w:lang w:eastAsia="x-none"/>
              </w:rPr>
              <w:t>. Lena sollte also 3,6 abschneiden.</w:t>
            </w:r>
          </w:p>
        </w:tc>
      </w:tr>
    </w:tbl>
    <w:p w:rsidR="000001E7" w:rsidRPr="000001E7" w:rsidRDefault="000001E7" w:rsidP="000001E7">
      <w:pPr>
        <w:jc w:val="both"/>
        <w:rPr>
          <w:rFonts w:ascii="Arial" w:hAnsi="Arial"/>
          <w:sz w:val="22"/>
          <w:szCs w:val="22"/>
        </w:rPr>
      </w:pPr>
      <w:bookmarkStart w:id="0" w:name="_GoBack"/>
      <w:bookmarkEnd w:id="0"/>
      <w:r w:rsidRPr="000001E7">
        <w:rPr>
          <w:rFonts w:ascii="Arial" w:hAnsi="Arial"/>
          <w:sz w:val="22"/>
          <w:szCs w:val="22"/>
        </w:rPr>
        <w:lastRenderedPageBreak/>
        <w:t>Das systematische Probieren braucht zum einen vielleicht sehr lange, zum anderen liefert es in der Regel nur ungefähre Ergebnisse. An dieser Stelle kann man sehr gut die Erarbeitung einer Formel zur Berechnung des Volumens in Abhängigkeit der Höhe der Schachtel motivieren. Es schließt sich demnach die Beispielaufgabe 3 an.</w:t>
      </w:r>
    </w:p>
    <w:p w:rsidR="000001E7" w:rsidRPr="000001E7" w:rsidRDefault="000001E7" w:rsidP="000001E7">
      <w:pPr>
        <w:jc w:val="both"/>
        <w:rPr>
          <w:rFonts w:ascii="Arial" w:hAnsi="Arial"/>
          <w:sz w:val="22"/>
          <w:szCs w:val="22"/>
        </w:rPr>
      </w:pPr>
    </w:p>
    <w:p w:rsidR="000001E7" w:rsidRPr="000001E7" w:rsidRDefault="000001E7" w:rsidP="000001E7">
      <w:pPr>
        <w:jc w:val="both"/>
        <w:rPr>
          <w:rFonts w:ascii="Arial" w:hAnsi="Arial"/>
          <w:b/>
          <w:sz w:val="22"/>
          <w:szCs w:val="22"/>
        </w:rPr>
      </w:pPr>
      <w:r w:rsidRPr="000001E7">
        <w:rPr>
          <w:rFonts w:ascii="Arial" w:hAnsi="Arial"/>
          <w:b/>
          <w:sz w:val="22"/>
          <w:szCs w:val="22"/>
        </w:rPr>
        <w:t>Beispielaufgabe 3</w:t>
      </w:r>
    </w:p>
    <w:p w:rsidR="000001E7" w:rsidRPr="000001E7" w:rsidRDefault="000001E7" w:rsidP="000001E7">
      <w:pPr>
        <w:widowControl w:val="0"/>
        <w:spacing w:after="120"/>
        <w:rPr>
          <w:rFonts w:ascii="Arial" w:hAnsi="Arial"/>
          <w:szCs w:val="20"/>
          <w:lang w:val="x-none" w:eastAsia="x-none"/>
        </w:rPr>
      </w:pPr>
      <w:r w:rsidRPr="000001E7">
        <w:rPr>
          <w:rFonts w:ascii="Arial" w:hAnsi="Arial"/>
          <w:noProof/>
          <w:szCs w:val="20"/>
        </w:rPr>
        <w:drawing>
          <wp:inline distT="0" distB="0" distL="0" distR="0">
            <wp:extent cx="4318635" cy="1158875"/>
            <wp:effectExtent l="0" t="0" r="5715"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line Text Wrapping Picture"/>
                    <pic:cNvPicPr>
                      <a:picLocks noChangeAspect="1" noChangeArrowheads="1"/>
                    </pic:cNvPicPr>
                  </pic:nvPicPr>
                  <pic:blipFill>
                    <a:blip r:embed="rId35">
                      <a:extLst>
                        <a:ext uri="{28A0092B-C50C-407E-A947-70E740481C1C}">
                          <a14:useLocalDpi xmlns:a14="http://schemas.microsoft.com/office/drawing/2010/main" val="0"/>
                        </a:ext>
                      </a:extLst>
                    </a:blip>
                    <a:srcRect b="21609"/>
                    <a:stretch>
                      <a:fillRect/>
                    </a:stretch>
                  </pic:blipFill>
                  <pic:spPr bwMode="auto">
                    <a:xfrm>
                      <a:off x="0" y="0"/>
                      <a:ext cx="4318635" cy="1158875"/>
                    </a:xfrm>
                    <a:prstGeom prst="rect">
                      <a:avLst/>
                    </a:prstGeom>
                    <a:noFill/>
                    <a:ln>
                      <a:noFill/>
                    </a:ln>
                  </pic:spPr>
                </pic:pic>
              </a:graphicData>
            </a:graphic>
          </wp:inline>
        </w:drawing>
      </w:r>
    </w:p>
    <w:p w:rsidR="000001E7" w:rsidRPr="000001E7" w:rsidRDefault="000001E7" w:rsidP="000001E7">
      <w:pPr>
        <w:widowControl w:val="0"/>
        <w:spacing w:after="120"/>
        <w:jc w:val="both"/>
        <w:rPr>
          <w:rFonts w:ascii="Arial" w:hAnsi="Arial"/>
          <w:sz w:val="22"/>
          <w:szCs w:val="22"/>
          <w:lang w:eastAsia="x-none"/>
        </w:rPr>
      </w:pPr>
    </w:p>
    <w:p w:rsidR="000001E7" w:rsidRPr="000001E7" w:rsidRDefault="000001E7" w:rsidP="000001E7">
      <w:pPr>
        <w:widowControl w:val="0"/>
        <w:spacing w:after="120"/>
        <w:jc w:val="both"/>
        <w:rPr>
          <w:rFonts w:ascii="Arial" w:hAnsi="Arial"/>
          <w:sz w:val="22"/>
          <w:szCs w:val="22"/>
          <w:lang w:eastAsia="x-none"/>
        </w:rPr>
      </w:pPr>
      <w:r w:rsidRPr="000001E7">
        <w:rPr>
          <w:rFonts w:ascii="Arial" w:hAnsi="Arial"/>
          <w:sz w:val="22"/>
          <w:szCs w:val="22"/>
          <w:lang w:val="x-none" w:eastAsia="x-none"/>
        </w:rPr>
        <w:t>In der Sekundarstufe</w:t>
      </w:r>
      <w:r w:rsidRPr="000001E7">
        <w:rPr>
          <w:rFonts w:ascii="Arial" w:hAnsi="Arial"/>
          <w:sz w:val="22"/>
          <w:szCs w:val="22"/>
          <w:lang w:eastAsia="x-none"/>
        </w:rPr>
        <w:t> </w:t>
      </w:r>
      <w:r w:rsidRPr="000001E7">
        <w:rPr>
          <w:rFonts w:ascii="Arial" w:hAnsi="Arial"/>
          <w:sz w:val="22"/>
          <w:szCs w:val="22"/>
          <w:lang w:val="x-none" w:eastAsia="x-none"/>
        </w:rPr>
        <w:t>I stehen noch nicht die Möglichkeiten bereit, um Extrempunkte des Graphen der ermittelten Volumenfunktion rechnerisch zu bestimmen. Dennoch bieten sich Möglichkeiten, um auch dieses Problem annähernd zu lösen. Mithilfe des wissenschaftlichen Taschenrechners und der „Table-Funktion“ können Wertetabellen erstellt werden. Durch das Erstellen von Wertetabellen auf immer kleineren Intervallen gelangt man annähernd zum höchstmöglichen Volumen. Ebenso kann der Graph der Volumenfunktion (mit geeigneter Software oder einem geeigneten Taschenrechner) gezeichnet und der Hochpunkt möglichst genau abgelesen werden.</w:t>
      </w:r>
    </w:p>
    <w:p w:rsidR="00694A63" w:rsidRPr="005B2F65" w:rsidRDefault="00694A63" w:rsidP="000001E7">
      <w:pPr>
        <w:spacing w:line="240" w:lineRule="atLeast"/>
        <w:jc w:val="both"/>
        <w:rPr>
          <w:sz w:val="22"/>
          <w:szCs w:val="22"/>
        </w:rPr>
      </w:pPr>
    </w:p>
    <w:sectPr w:rsidR="00694A63" w:rsidRPr="005B2F65" w:rsidSect="00DB65DC">
      <w:headerReference w:type="even" r:id="rId36"/>
      <w:headerReference w:type="default" r:id="rId37"/>
      <w:footerReference w:type="even" r:id="rId38"/>
      <w:footerReference w:type="default" r:id="rId39"/>
      <w:headerReference w:type="first" r:id="rId40"/>
      <w:footerReference w:type="first" r:id="rId41"/>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0A05137A-BA74-4334-93FC-45897DF9F9C4}"/>
    <w:embedBold r:id="rId2" w:fontKey="{2135EB08-4613-4D19-8A6C-BB8B8EA937C0}"/>
    <w:embedItalic r:id="rId3" w:fontKey="{133BD7AB-51BB-4D64-9D5E-525D5AB74179}"/>
    <w:embedBoldItalic r:id="rId4" w:fontKey="{6693D8A2-F795-49EA-BAB2-6B4BC3B80D74}"/>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1"/>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1064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001E7"/>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D708B"/>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6973CB"/>
    <w:rsid w:val="00753D68"/>
    <w:rsid w:val="007569FC"/>
    <w:rsid w:val="00756CB3"/>
    <w:rsid w:val="00790FB0"/>
    <w:rsid w:val="007C729F"/>
    <w:rsid w:val="007D4262"/>
    <w:rsid w:val="007E1237"/>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7385A"/>
    <w:rsid w:val="00983D6E"/>
    <w:rsid w:val="009A0AD0"/>
    <w:rsid w:val="009A16E7"/>
    <w:rsid w:val="009A2EFF"/>
    <w:rsid w:val="009A48E1"/>
    <w:rsid w:val="009C235D"/>
    <w:rsid w:val="009C47FB"/>
    <w:rsid w:val="009D21A1"/>
    <w:rsid w:val="009E39E2"/>
    <w:rsid w:val="00A13FB9"/>
    <w:rsid w:val="00A20151"/>
    <w:rsid w:val="00A2321C"/>
    <w:rsid w:val="00A25A42"/>
    <w:rsid w:val="00A47EC4"/>
    <w:rsid w:val="00A5510B"/>
    <w:rsid w:val="00A95DDE"/>
    <w:rsid w:val="00AD2D34"/>
    <w:rsid w:val="00B5462C"/>
    <w:rsid w:val="00B8136A"/>
    <w:rsid w:val="00BC76A7"/>
    <w:rsid w:val="00BE7001"/>
    <w:rsid w:val="00C14B64"/>
    <w:rsid w:val="00C1611A"/>
    <w:rsid w:val="00C2374F"/>
    <w:rsid w:val="00C2385F"/>
    <w:rsid w:val="00C630C9"/>
    <w:rsid w:val="00C74A96"/>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42719"/>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6497"/>
    <o:shapelayout v:ext="edit">
      <o:idmap v:ext="edit" data="1"/>
    </o:shapelayout>
  </w:shapeDefaults>
  <w:decimalSymbol w:val=","/>
  <w:listSeparator w:val=";"/>
  <w14:docId w14:val="44C2C1D5"/>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w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footer" Target="footer2.xml"/><Relationship Id="rId21" Type="http://schemas.openxmlformats.org/officeDocument/2006/relationships/image" Target="media/image9.wmf"/><Relationship Id="rId34" Type="http://schemas.openxmlformats.org/officeDocument/2006/relationships/oleObject" Target="embeddings/oleObject12.bin"/><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3.wmf"/><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header" Target="header2.xml"/><Relationship Id="rId40"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image" Target="media/image10.wmf"/><Relationship Id="rId28" Type="http://schemas.openxmlformats.org/officeDocument/2006/relationships/oleObject" Target="embeddings/oleObject9.bin"/><Relationship Id="rId36" Type="http://schemas.openxmlformats.org/officeDocument/2006/relationships/header" Target="header1.xml"/><Relationship Id="rId10" Type="http://schemas.openxmlformats.org/officeDocument/2006/relationships/image" Target="media/image3.emf"/><Relationship Id="rId19" Type="http://schemas.openxmlformats.org/officeDocument/2006/relationships/image" Target="media/image8.wmf"/><Relationship Id="rId31" Type="http://schemas.openxmlformats.org/officeDocument/2006/relationships/image" Target="media/image14.w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2.wmf"/><Relationship Id="rId30" Type="http://schemas.openxmlformats.org/officeDocument/2006/relationships/oleObject" Target="embeddings/oleObject10.bin"/><Relationship Id="rId35" Type="http://schemas.openxmlformats.org/officeDocument/2006/relationships/image" Target="media/image16.emf"/><Relationship Id="rId43" Type="http://schemas.openxmlformats.org/officeDocument/2006/relationships/theme" Target="theme/theme1.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7.wmf"/><Relationship Id="rId25" Type="http://schemas.openxmlformats.org/officeDocument/2006/relationships/image" Target="media/image11.wmf"/><Relationship Id="rId33" Type="http://schemas.openxmlformats.org/officeDocument/2006/relationships/image" Target="media/image15.wmf"/><Relationship Id="rId38"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17.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CC849E-D26E-4D13-97F9-3944CD586B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611</Words>
  <Characters>4274</Characters>
  <Application>Microsoft Office Word</Application>
  <DocSecurity>0</DocSecurity>
  <Lines>87</Lines>
  <Paragraphs>34</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4851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2025-07-24T07:34:00Z</dcterms:created>
  <dcterms:modified xsi:type="dcterms:W3CDTF">2025-07-24T07:34:00Z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